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50" w:rsidRPr="008A3950" w:rsidRDefault="008A3950" w:rsidP="008A3950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8A3950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8A3950" w:rsidRPr="008A3950" w:rsidRDefault="008A3950" w:rsidP="008A395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Приокский</w:t>
      </w:r>
      <w:proofErr w:type="spellEnd"/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парк»</w:t>
      </w:r>
    </w:p>
    <w:p w:rsidR="008A3950" w:rsidRPr="008A3950" w:rsidRDefault="008A3950" w:rsidP="008A395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</w:t>
      </w:r>
      <w:proofErr w:type="gramStart"/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строительству  многоквартирного</w:t>
      </w:r>
      <w:proofErr w:type="gramEnd"/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жилого дома</w:t>
      </w:r>
    </w:p>
    <w:p w:rsidR="008A3950" w:rsidRPr="008A3950" w:rsidRDefault="008A3950" w:rsidP="008A395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с универсальным детским спортивным комплексом</w:t>
      </w:r>
    </w:p>
    <w:p w:rsidR="008A3950" w:rsidRPr="008A3950" w:rsidRDefault="008A3950" w:rsidP="008A395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8A3950" w:rsidRPr="008A3950" w:rsidRDefault="008A3950" w:rsidP="008A395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227"/>
      </w:tblGrid>
      <w:tr w:rsidR="008A3950" w:rsidRPr="008A3950" w:rsidTr="008A3950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Приокский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парк»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Адрес (место нахождения):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390525, Россия, Рязанская область, Рязанский район,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Поляны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ЗАО «Группа компаний «ЕДИНСТВО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  390013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Рязанская область, г. Рязань, Вокзальная улица, дом 41, пом. Н5.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Общество с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ограниченной  ответственностью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Приокский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парк»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05 ноября 2008 года МРИФНС России №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 по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Рязанской области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1086215002730, ИНН 6215022710, КПП 621501001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Сорокин Андрей Владимирович, 100% голосов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Приокский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парк» ввело в эксплуатацию следующие объекты: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Многоквартирный жилой дом с нежилыми помещениями по адресу: Рязанская область, г.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Рязань,  Октябрьская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улица, д.65 (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блок-секция №1, блок-секция №2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 - Срок ввода в эксплуатацию в соответствии с проектной документацией -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2011г.</w:t>
            </w:r>
          </w:p>
          <w:p w:rsidR="008A3950" w:rsidRPr="008A3950" w:rsidRDefault="008A3950" w:rsidP="008A395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Фактический срок ввода в эксплуатацию - 29.06.2011 года.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Многоквартирный жилой дом с нежилыми помещениями по адресу: Рязанская область, г.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Рязань,  Октябрьская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улица, д.65 (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блок-секция №3, блок-секция №4, блок-секция №5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    - Срок ввода их в эксплуатацию в соответствии с проектной документацией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2012 года.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- Фактический срок ввода в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эксплуатацию  -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30 ноября 2012 года.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Многоквартирный жилой дом с нежилыми помещениями по адресу: Рязанская область, г.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Рязань,  Октябрьская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улица, д.65 (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блок-секция №7, блок-секция №8, блок-секция №9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- Срок ввода в эксплуатацию в соответствии с проектной документацией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2015 года.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 - Фактический срок ввода в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эксплуатацию  -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31 декабря 2014 года.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Многоквартирный жилой дом с нежилыми помещениями по адресу: Рязанская область, г.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Рязань,  Октябрьская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улица, д.65 (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блок-секция №6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- Срок ввода в эксплуатацию в соответствии с проектной документацией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2012 года.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- Фактический срок ввода в эксплуатацию  - 30 ноября 2012 года.</w:t>
            </w:r>
          </w:p>
        </w:tc>
      </w:tr>
      <w:tr w:rsidR="008A3950" w:rsidRPr="008A3950" w:rsidTr="008A3950">
        <w:trPr>
          <w:trHeight w:val="1187"/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05 июня 2015 г.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Застройщиком с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Обществом с ограниченной ответственностью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 от 05 июня 2015 г.</w:t>
            </w:r>
            <w:r w:rsidRPr="008A395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                                   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 и дебиторской задолженности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состоянию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31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марта  2015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года включительно: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Финансовый результат –  11 406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980  рублей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Размер кредиторской задолженности – 17 065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547  рублей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Размер дебиторской задолженности – 34 314 305  рублей.</w:t>
            </w:r>
          </w:p>
        </w:tc>
      </w:tr>
    </w:tbl>
    <w:p w:rsidR="008A3950" w:rsidRPr="008A3950" w:rsidRDefault="008A3950" w:rsidP="008A3950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95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8A3950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25"/>
      </w:tblGrid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 многоквартирного жилого дома с универсальным детским спортивным комплексом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будет осуществляться по строительному адресу: Рязанская область, г. Рязань, улица Октябрьская, дом 65б – (далее – «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здание дома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окончания проекта  (срок передачи) –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 30 июня 2017 года включительно.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 77-1-4-0072-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  от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 апреля 2015  г., выданное Обществом с ограниченной ответственностью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«Межрегиональный институт экспертизы» (г. Москва)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0001.610160 от 30.08.2013 г., №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 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0001.610206 от 04.12.2013г.)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№62-29-63-2015 от 04.06.2015 г. выдано Администрацией г. Рязани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на праве аренды владеет: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Земельным участком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 кадастровым № 62:29:0030034:651, общей площадью – 14881,0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., расположенным по адресу: Рязанская область, г. Рязань, ул. Октябрьская д. 63 строен.1 (Московский район)  на основании Договора №АР-26 аренды земельного участка, находящегося в частной собственности от 06 февраля 2009 года, зарегистрированный  в УФРС по Рязанской области 11.02.2009 г., № регистрации 62-62-01/056/2009-058; дополнительного соглашения №1 от 13.02.2014 г. зарегистрированного в Управлении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Рязанской области 05.03.2014 г., № регистрации62-62-01/076/2014-217 к Договору №АР-26 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аренды земельного участка, находящегося в частной собственности от 06 февраля 2009 года.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Собственник земельного участка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Сорокин Андрей Владимирович.</w:t>
            </w:r>
          </w:p>
        </w:tc>
      </w:tr>
      <w:tr w:rsidR="008A3950" w:rsidRPr="008A3950" w:rsidTr="008A3950">
        <w:trPr>
          <w:trHeight w:val="2214"/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территории двора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предусмотрены элементы благоустройства: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озеленение территории застройки и прилегающей к ней парковой зоны;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малые архитектурные формы,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площадка для отдыха взрослых,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  детские игровые комплексы,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 хозяйственные площадки для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мусороконтейнеров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 площадки имеют соответствующие покрытия и оборудование. Для пешеходной связи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предусмотрена  сеть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освещенных тротуаров. Покрытие проездов и пешеходных дорожек – асфальтобетонное.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8A3950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</w:t>
            </w:r>
            <w:bookmarkEnd w:id="1"/>
          </w:p>
          <w:p w:rsidR="008A3950" w:rsidRPr="008A3950" w:rsidRDefault="008A3950" w:rsidP="008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772025" cy="2867025"/>
                  <wp:effectExtent l="0" t="0" r="9525" b="9525"/>
                  <wp:docPr id="1" name="Рисунок 1" descr="http://old.edinstvo62.ru/houses/103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03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Участок строительства здания дома располагается на территории жилого комплекса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Приокский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парк» 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 Московском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округе города Рязани в микрорайоне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Приокский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вблизи улицы Октябрьская и проезда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Шабулина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Территория комплекса является обособленной, не граничит с жилыми массивами, непосредственно примыкает к зеленой зоне (парковой зоне) и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имеет  сильно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развитую инфраструктуру. Вблизи застройки находится поликлиника завода «Красное знамя», плавательный бассейн «Чайка», парк у памятника «Братства по оружию», среднеобразовательные школы № 45,48, детские сады № 76,79,93,146, станкостроительный колледж.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наличием разновысотных секций, здание дома разбито на два отдельных блока в монолитном железобетонном каркасе с применением передовых технологий утепления наружных стен из негорючих материалов.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Блоки отделены друг от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друга  деформационными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швами.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блок представляет собой сложное сооружение с одним подземным и 18-ю надземными этажами.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Второй блок представляет собой сооружение с одним подземным и одним надземным этажом.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первом этаже здания дома запроектированы жилые и нежилые помещения.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пристроенном стилобате запроектированы нежилые помещения и входная группа для здания дома.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все этажи башни-секции предусмотрен подъем при помощи двух лифтов фирмы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Otis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грузоподъемность 1000 кг.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Конструктивная схема многоэтажной части здания представляет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собой  монолитную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рамно-связевую каркасную систему с диафрагмами жесткости на монолитной фундаментной плите.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Конструктивная схема второго блока представляет собой жесткую замкнутую пространственную конструкцию, состоящую из монолитных наружных стен, монолитных колонн, связанных с монолитной плитой покрытия и монолитной фундаментной плитой.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облицовке фасада применяется технология «мокрого» фасада. Наружные стены здания трехслойные: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внутренний слой выполнен из красного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поризованного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керамического кирпича,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теплоизоляция –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минераловатные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плиты,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наружный слой – декоративная штукатурка по сетке.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Фундамент – монолитные железобетонные плиты.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Перегородки внутренние –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пазогребневые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силикатные блоки.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Перегородки в туалетных, ванных комнатах, санузлах – из красного керамического кирпича.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Кровля здания дома–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плоская,  утепленная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эксплуатируемая.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Электроснабжение здания дома осуществляется от существующей трансформаторной подстанции. В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приквартирных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коридорах устанавливаются этажные щитки от которых осуществляется распределение электроэнергии до квартирных щитков. Для нежилых помещений предусматривается установка общего ВРУ.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Источником водоснабжения здания дома является существующий водозаборных узел. В здании дома запроектирована объединенная система хозяйственно-питьевого и противопожарного водопровода. Система водоснабжения запитана от двух вводов водопровода. Водоснабжение нежилых помещений предусмотрено самостоятельной системой от ввода водопровода. На ответвлениях в каждую квартиру и нежилые помещения монтируются счетчики холодной воды.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Водоотведение хозяйственно-бытовых сточных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  предусмотрено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существующий канализационный коллектор, проходящий по пр.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Шабулина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квартиры имеют необходимый набор жилых и вспомогательных помещений.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Отопление и горячее водоснабжение квартир – автономное, от индивидуальных поквартирных газовых котлов, установленных на кухнях. В каждой квартире проектом предусматривается установка электромагнитного клапана, фильтр, счетчик газа и газовая плита. Система отопления квартир принята лучевая от распределительной гребенки.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 отопления нежилых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помещений  -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индивидуальных газовых котлов.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Проектом предусмотрена приточно-вытяжная вентиляция с естественным притоком воздуха и механической вытяжкой. Приток осуществляется через регулируемые клапаны инфильтрации воздуха, которые устанавливаются в наружных стенах жилых помещений в зоне действия отопительного прибора и обеспечивают оптимальный уровень влажности и свежий воздух.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Проектом предусматривается обеспечение здания дома радиофикацией, телефонизацией и телевизионного вещания.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проемы и лоджии (балконы) остекляются ПВХ-профилем.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Преимущества жилой застройки: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 Автономное артезианское водоснабжение.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2.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Двухуровневая  подземная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автостоянка.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3. Индивидуальное отопление и горячее водоснабжение.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4. Видеодомофон.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5. Подводятся телефонные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кабели  и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кабели для подключения к телевизионному вещанию 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6. Кабельное телевидение.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7. Малошумные лифты фирмы "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Otis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".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8. Высококачественная отделка подъездов и мест общего пользования.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9. Комплексная система видеонаблюдения;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10. Комплексное озеленение всей территории застройки и прилегающих к ней зеленых зон, развитие прилегающих парковых зон.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11. </w:t>
            </w:r>
            <w:proofErr w:type="gramStart"/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Развитая  спортивно</w:t>
            </w:r>
            <w:proofErr w:type="gramEnd"/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-развлекательная инфраструктура.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Многоквартирный жилой дом с универсальным детским спортивным комплексом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включает в себя: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 - 140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общей проектной площадью – 9 532,17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 из них:</w:t>
            </w:r>
          </w:p>
          <w:p w:rsidR="008A3950" w:rsidRPr="008A3950" w:rsidRDefault="008A3950" w:rsidP="008A395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A39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53 квартиры,</w:t>
            </w:r>
          </w:p>
          <w:p w:rsidR="008A3950" w:rsidRPr="008A3950" w:rsidRDefault="008A3950" w:rsidP="008A395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A39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 – 34 квартир,</w:t>
            </w:r>
          </w:p>
          <w:p w:rsidR="008A3950" w:rsidRPr="008A3950" w:rsidRDefault="008A3950" w:rsidP="008A395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A39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53 квартир.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Нежилые помещения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 -  6.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shd w:val="clear" w:color="auto" w:fill="FFFFFF"/>
                <w:lang w:eastAsia="ru-RU"/>
              </w:rPr>
              <w:t>Нежилые помещения (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shd w:val="clear" w:color="auto" w:fill="FFFFFF"/>
                <w:lang w:eastAsia="ru-RU"/>
              </w:rPr>
              <w:t>внеквартиные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shd w:val="clear" w:color="auto" w:fill="FFFFFF"/>
                <w:lang w:eastAsia="ru-RU"/>
              </w:rPr>
              <w:t xml:space="preserve"> хозяйственные кладовые) 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– 90.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A395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–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A3950" w:rsidRPr="008A3950" w:rsidTr="008A3950">
        <w:trPr>
          <w:trHeight w:val="2249"/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2016 г.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г. Рязани.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</w:p>
          <w:p w:rsidR="008A3950" w:rsidRPr="008A3950" w:rsidRDefault="008A3950" w:rsidP="008A3950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A39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8A3950" w:rsidRPr="008A3950" w:rsidRDefault="008A3950" w:rsidP="008A3950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A39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8A3950" w:rsidRPr="008A3950" w:rsidRDefault="008A3950" w:rsidP="008A3950">
            <w:pPr>
              <w:spacing w:after="0" w:line="240" w:lineRule="auto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Symbol" w:eastAsia="Times New Roman" w:hAnsi="Symbol" w:cs="Times New Roman"/>
                <w:sz w:val="21"/>
                <w:szCs w:val="21"/>
                <w:lang w:eastAsia="ru-RU"/>
              </w:rPr>
              <w:t></w:t>
            </w:r>
            <w:r w:rsidRPr="008A395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389 620 000 рублей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СтройАльянс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Приокский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парк »;</w:t>
            </w: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ООО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«Дирекция благоустройства города»;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Рязани»;</w:t>
            </w:r>
          </w:p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ПМЦ «Гриф».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Залог  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8A3950" w:rsidRPr="008A3950" w:rsidTr="008A3950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16. Иные договора и сделки по </w:t>
            </w:r>
            <w:r w:rsidRPr="008A395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привлечению денежных средств для строительства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950" w:rsidRPr="008A3950" w:rsidRDefault="008A3950" w:rsidP="008A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8A3950" w:rsidRPr="008A3950" w:rsidRDefault="008A3950" w:rsidP="008A3950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95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lastRenderedPageBreak/>
        <w:t> </w:t>
      </w:r>
    </w:p>
    <w:p w:rsidR="000578BB" w:rsidRDefault="008A3950" w:rsidP="008A3950">
      <w:r w:rsidRPr="008A3950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05 июня 2015 года.</w:t>
      </w:r>
    </w:p>
    <w:sectPr w:rsidR="0005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50"/>
    <w:rsid w:val="000578BB"/>
    <w:rsid w:val="008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D1DB-E44D-4B66-B53E-DCBE5478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950"/>
    <w:rPr>
      <w:b/>
      <w:bCs/>
    </w:rPr>
  </w:style>
  <w:style w:type="character" w:customStyle="1" w:styleId="apple-converted-space">
    <w:name w:val="apple-converted-space"/>
    <w:basedOn w:val="a0"/>
    <w:rsid w:val="008A3950"/>
  </w:style>
  <w:style w:type="character" w:styleId="a5">
    <w:name w:val="Emphasis"/>
    <w:basedOn w:val="a0"/>
    <w:uiPriority w:val="20"/>
    <w:qFormat/>
    <w:rsid w:val="008A3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2017-06-14T10:46:00Z</dcterms:created>
  <dcterms:modified xsi:type="dcterms:W3CDTF">2017-06-14T10:46:00Z</dcterms:modified>
</cp:coreProperties>
</file>